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4B72" w14:textId="741289E8" w:rsidR="00C0220D" w:rsidRPr="001B68AA" w:rsidRDefault="00C0220D" w:rsidP="00C0790C">
      <w:pPr>
        <w:pStyle w:val="xs3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 w:cs="Segoe UI"/>
          <w:sz w:val="36"/>
          <w:szCs w:val="36"/>
        </w:rPr>
      </w:pPr>
      <w:r w:rsidRPr="001B68AA">
        <w:rPr>
          <w:rStyle w:val="xbumpedfont15"/>
          <w:rFonts w:ascii="標楷體" w:eastAsia="標楷體" w:hAnsi="標楷體" w:cs="Calibri"/>
          <w:b/>
          <w:bCs/>
          <w:sz w:val="36"/>
          <w:szCs w:val="36"/>
          <w:bdr w:val="none" w:sz="0" w:space="0" w:color="auto" w:frame="1"/>
        </w:rPr>
        <w:t xml:space="preserve">EN 12257 </w:t>
      </w:r>
      <w:r w:rsidR="00D27F2A" w:rsidRPr="001B68AA">
        <w:rPr>
          <w:rStyle w:val="xbumpedfont15"/>
          <w:rFonts w:ascii="標楷體" w:eastAsia="標楷體" w:hAnsi="標楷體" w:cs="Calibri" w:hint="eastAsia"/>
          <w:b/>
          <w:bCs/>
          <w:sz w:val="36"/>
          <w:szCs w:val="36"/>
          <w:bdr w:val="none" w:sz="0" w:space="0" w:color="auto" w:frame="1"/>
        </w:rPr>
        <w:t>歐洲標準</w:t>
      </w:r>
      <w:r w:rsidR="001B68AA" w:rsidRPr="001B68AA">
        <w:rPr>
          <w:rFonts w:ascii="標楷體" w:eastAsia="標楷體" w:hAnsi="標楷體" w:cs="Calibri" w:hint="eastAsia"/>
          <w:b/>
          <w:bCs/>
          <w:sz w:val="36"/>
          <w:szCs w:val="36"/>
          <w:bdr w:val="none" w:sz="0" w:space="0" w:color="auto" w:frame="1"/>
        </w:rPr>
        <w:t>說明</w:t>
      </w:r>
    </w:p>
    <w:p w14:paraId="15143F1A" w14:textId="03CA2CF5" w:rsidR="0019047E" w:rsidRPr="00CB02F1" w:rsidRDefault="00D27F2A" w:rsidP="00F51C50">
      <w:pPr>
        <w:pStyle w:val="xs4"/>
        <w:numPr>
          <w:ilvl w:val="0"/>
          <w:numId w:val="2"/>
        </w:numPr>
        <w:shd w:val="clear" w:color="auto" w:fill="FFFFFF"/>
        <w:spacing w:before="0" w:beforeAutospacing="0" w:afterLines="20" w:after="72" w:afterAutospacing="0" w:line="400" w:lineRule="exact"/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CB02F1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前言</w:t>
      </w:r>
    </w:p>
    <w:p w14:paraId="0889F9BB" w14:textId="22B1B16D" w:rsidR="00C0220D" w:rsidRPr="00AE3768" w:rsidRDefault="00D27F2A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ind w:left="720"/>
        <w:rPr>
          <w:rFonts w:ascii="標楷體" w:eastAsia="標楷體" w:hAnsi="標楷體" w:cs="Segoe UI"/>
          <w:color w:val="242424"/>
          <w:sz w:val="28"/>
          <w:szCs w:val="28"/>
        </w:rPr>
      </w:pPr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EN 12257 是</w:t>
      </w:r>
      <w:bookmarkStart w:id="0" w:name="_Hlk218714104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歐洲標準</w:t>
      </w:r>
      <w:bookmarkEnd w:id="0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（EN），全稱為 Transportable gas cylinders </w:t>
      </w:r>
      <w:proofErr w:type="gramStart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–</w:t>
      </w:r>
      <w:proofErr w:type="gramEnd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 Seamless, hoop-wrapped composite cylinders，對無縫金屬</w:t>
      </w:r>
      <w:proofErr w:type="gramStart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襯</w:t>
      </w:r>
      <w:proofErr w:type="gramEnd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里加纖維增強複合材料氣瓶的設計、製造、測試及檢驗提供要求。該標準最初是依歐洲標準化委員會（CEN</w:t>
      </w:r>
      <w:proofErr w:type="gramStart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註</w:t>
      </w:r>
      <w:proofErr w:type="gramEnd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1）在較早之前的危險品運輸相關法規下制定</w:t>
      </w:r>
      <w:r w:rsidR="00C0220D" w:rsidRPr="00AE3768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。</w:t>
      </w:r>
    </w:p>
    <w:p w14:paraId="3F5DEAF7" w14:textId="0E133495" w:rsidR="009A7D14" w:rsidRPr="00CB02F1" w:rsidRDefault="00F51C50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CB02F1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二</w:t>
      </w:r>
      <w:r w:rsidR="00C0220D" w:rsidRPr="00CB02F1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、EN 12257 標準性質說明</w:t>
      </w:r>
    </w:p>
    <w:p w14:paraId="5F27E58D" w14:textId="2DFE6E6C" w:rsidR="00C0220D" w:rsidRPr="00AE3768" w:rsidRDefault="0019047E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ind w:left="560" w:hangingChars="200" w:hanging="560"/>
        <w:rPr>
          <w:rFonts w:ascii="標楷體" w:eastAsia="標楷體" w:hAnsi="標楷體" w:cs="Segoe UI"/>
          <w:color w:val="242424"/>
          <w:sz w:val="28"/>
          <w:szCs w:val="28"/>
        </w:rPr>
      </w:pPr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    </w:t>
      </w:r>
      <w:r w:rsidR="00C0220D" w:rsidRPr="00AE3768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EN 12257 為歐洲標準（EN），其主要內容係規範以複合材料增強之可移動式氣瓶，包括設計、製造、試驗及檢驗等技術要求。該標準屬於技術性歐洲標準。</w:t>
      </w:r>
    </w:p>
    <w:p w14:paraId="4758D283" w14:textId="44B6D217" w:rsidR="009A7D14" w:rsidRPr="00CB02F1" w:rsidRDefault="00F51C50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CB02F1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三</w:t>
      </w:r>
      <w:r w:rsidR="00C0220D" w:rsidRPr="00CB02F1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、EN 12257 與 PED 調和標準之關係</w:t>
      </w:r>
    </w:p>
    <w:p w14:paraId="2DDC017A" w14:textId="1CB29F28" w:rsidR="00F51C50" w:rsidRPr="00AE3768" w:rsidRDefault="00F51C50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（一）調和標準（</w:t>
      </w:r>
      <w:proofErr w:type="spellStart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Harmonised</w:t>
      </w:r>
      <w:proofErr w:type="spellEnd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 Standards）</w:t>
      </w:r>
    </w:p>
    <w:p w14:paraId="6B18409C" w14:textId="6C31624F" w:rsidR="00F51C50" w:rsidRPr="00AE3768" w:rsidRDefault="00F51C50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ind w:left="840" w:hangingChars="300" w:hanging="84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      調和標準係由歐盟委員會依指令授權歐洲標準化組織（如 CEN</w:t>
      </w:r>
      <w:proofErr w:type="gramStart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註</w:t>
      </w:r>
      <w:proofErr w:type="gramEnd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1）制定，並將其標準編號正式刊登於《歐盟官方公報》（Official Journal of the European Union, OJEU</w:t>
      </w:r>
      <w:proofErr w:type="gramStart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註</w:t>
      </w:r>
      <w:proofErr w:type="gramEnd"/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2）。產品如依調和標準設計與製造，即可推定符合該指令之基本安全要求。</w:t>
      </w:r>
    </w:p>
    <w:p w14:paraId="1E05BBFE" w14:textId="03D88AF9" w:rsidR="00F51C50" w:rsidRPr="00AE3768" w:rsidRDefault="00F51C50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ind w:left="840" w:hangingChars="300" w:hanging="84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（二）2014/68/EU（PED）</w:t>
      </w:r>
    </w:p>
    <w:p w14:paraId="40167D33" w14:textId="5D09CACD" w:rsidR="00F51C50" w:rsidRPr="00AE3768" w:rsidRDefault="00F51C50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ind w:left="840" w:hangingChars="300" w:hanging="84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      2014/68/EU 為歐盟針對壓力設備及組件所訂定之指令，其目的在於確保產品於歐盟市場流通時，符合基本安全要求（Essential Safety Requirements, ESRs）。</w:t>
      </w:r>
    </w:p>
    <w:p w14:paraId="189E4CBC" w14:textId="127D2184" w:rsidR="00C0220D" w:rsidRPr="00AE3768" w:rsidRDefault="00F51C50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ind w:left="840" w:hangingChars="300" w:hanging="840"/>
        <w:rPr>
          <w:rFonts w:ascii="標楷體" w:eastAsia="標楷體" w:hAnsi="標楷體" w:cs="Segoe UI"/>
          <w:color w:val="242424"/>
          <w:sz w:val="28"/>
          <w:szCs w:val="28"/>
        </w:rPr>
      </w:pPr>
      <w:r w:rsidRPr="00AE3768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（三）</w:t>
      </w:r>
      <w:r w:rsidR="00C0220D" w:rsidRPr="00482FDC">
        <w:rPr>
          <w:rFonts w:ascii="標楷體" w:eastAsia="標楷體" w:hAnsi="標楷體" w:cs="Segoe UI"/>
          <w:color w:val="EE0000"/>
          <w:sz w:val="28"/>
          <w:szCs w:val="28"/>
          <w:bdr w:val="none" w:sz="0" w:space="0" w:color="auto" w:frame="1"/>
        </w:rPr>
        <w:t>經查詢歐盟官方公布之 PED 調和標準清單（刊登於 OJEU），目前未見 EN 12257 被正式列入 2014/68/EU 之調和標準名錄。因此，EN 12257 雖為歐洲標準，但並未取得 PED 調和標準之法律地位，亦即其本身不具備「推定符合 PED 基本安全要求」之效力。</w:t>
      </w:r>
    </w:p>
    <w:p w14:paraId="46556BD1" w14:textId="290C63B6" w:rsidR="009A7D14" w:rsidRPr="00CB02F1" w:rsidRDefault="00F51C50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CB02F1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四</w:t>
      </w:r>
      <w:r w:rsidR="00C0220D" w:rsidRPr="00CB02F1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、實務影響與應用說明</w:t>
      </w:r>
    </w:p>
    <w:p w14:paraId="4D1D9CCC" w14:textId="77777777" w:rsidR="00C0790C" w:rsidRPr="00AE3768" w:rsidRDefault="00C0220D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ind w:left="840" w:hangingChars="300" w:hanging="84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AE3768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（一）若產品依 EN 12257 設計與製造，並不代表可自動符合 PED 要求。</w:t>
      </w:r>
    </w:p>
    <w:p w14:paraId="67556234" w14:textId="77777777" w:rsidR="00C0790C" w:rsidRPr="00AE3768" w:rsidRDefault="00C0220D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ind w:left="840" w:hangingChars="300" w:hanging="84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AE3768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（二）</w:t>
      </w:r>
      <w:r w:rsidRPr="00482FDC">
        <w:rPr>
          <w:rFonts w:ascii="標楷體" w:eastAsia="標楷體" w:hAnsi="標楷體" w:cs="Segoe UI"/>
          <w:color w:val="EE0000"/>
          <w:sz w:val="28"/>
          <w:szCs w:val="28"/>
          <w:bdr w:val="none" w:sz="0" w:space="0" w:color="auto" w:frame="1"/>
        </w:rPr>
        <w:t>製造商仍須另行證明其產品符合 PED 之基本安全要求</w:t>
      </w:r>
      <w:r w:rsidRPr="00AE3768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，例如透過風險評估、技術文件、其他適用之 PED 調和標準，或經公告機構（Notified Body）審查確認。</w:t>
      </w:r>
    </w:p>
    <w:p w14:paraId="0BF27B1A" w14:textId="3A443FEE" w:rsidR="00C0220D" w:rsidRPr="00AE3768" w:rsidRDefault="00C0220D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ind w:left="840" w:hangingChars="300" w:hanging="840"/>
        <w:rPr>
          <w:rFonts w:ascii="標楷體" w:eastAsia="標楷體" w:hAnsi="標楷體" w:cs="Segoe UI"/>
          <w:color w:val="242424"/>
          <w:sz w:val="28"/>
          <w:szCs w:val="28"/>
        </w:rPr>
      </w:pPr>
      <w:r w:rsidRPr="00AE3768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（三）EN 12257 可作為技術參考標準或補充標準，但不可單獨作為 PED 合</w:t>
      </w:r>
      <w:proofErr w:type="gramStart"/>
      <w:r w:rsidRPr="00AE3768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規</w:t>
      </w:r>
      <w:proofErr w:type="gramEnd"/>
      <w:r w:rsidRPr="00AE3768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性之唯一依據。</w:t>
      </w:r>
    </w:p>
    <w:p w14:paraId="73BE1A50" w14:textId="2F139F8F" w:rsidR="00C0790C" w:rsidRPr="00CB02F1" w:rsidRDefault="00F51C50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CB02F1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五</w:t>
      </w:r>
      <w:r w:rsidR="00C0220D" w:rsidRPr="00CB02F1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、結論</w:t>
      </w:r>
    </w:p>
    <w:p w14:paraId="70694DC3" w14:textId="4DE560C4" w:rsidR="00C0220D" w:rsidRPr="00AE3768" w:rsidRDefault="00C0220D" w:rsidP="00AE3768">
      <w:pPr>
        <w:pStyle w:val="xs4"/>
        <w:shd w:val="clear" w:color="auto" w:fill="FFFFFF"/>
        <w:spacing w:before="0" w:beforeAutospacing="0" w:afterLines="20" w:after="72" w:afterAutospacing="0" w:line="400" w:lineRule="exact"/>
        <w:rPr>
          <w:rFonts w:ascii="標楷體" w:eastAsia="標楷體" w:hAnsi="標楷體" w:cs="Segoe UI"/>
          <w:color w:val="242424"/>
          <w:sz w:val="28"/>
          <w:szCs w:val="28"/>
        </w:rPr>
      </w:pPr>
      <w:r w:rsidRPr="00AE3768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lastRenderedPageBreak/>
        <w:t>綜合上述，EN 12257 雖屬歐洲標準（EN），惟目前並未被歐盟正式公告為 2014/68/EU（PED）之調和標準。因此，採用 EN 12257 進行設計與製造者，仍須透過其他方式證明符合 PED 之基本安全要求，始得於歐盟市場合法投放。</w:t>
      </w:r>
    </w:p>
    <w:p w14:paraId="4D2E2415" w14:textId="470BD1EB" w:rsidR="002164BE" w:rsidRPr="002164BE" w:rsidRDefault="002164BE" w:rsidP="00F51C50">
      <w:pPr>
        <w:spacing w:after="0" w:line="400" w:lineRule="exact"/>
        <w:ind w:left="700" w:hangingChars="250" w:hanging="70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proofErr w:type="gramStart"/>
      <w:r w:rsidRPr="002164B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註</w:t>
      </w:r>
      <w:proofErr w:type="gramEnd"/>
      <w:r w:rsidRPr="002164B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1：</w:t>
      </w:r>
      <w:r w:rsidRPr="00CB02F1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CEN</w:t>
      </w:r>
      <w:r w:rsidRPr="00CB02F1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（</w:t>
      </w:r>
      <w:r w:rsidRPr="00CB02F1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歐洲標準委員會</w:t>
      </w:r>
      <w:r w:rsidRPr="00CB02F1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）</w:t>
      </w:r>
      <w:r w:rsidRPr="002164B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-</w:t>
      </w:r>
      <w:r w:rsidRPr="002164BE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歐洲標準委員會是一個公共標準組織，其使命為透過提供有效的基建予研發、維護和發表一致標準和規範的相關人員和機構，以促進環球貿易中歐洲單一</w:t>
      </w:r>
      <w:proofErr w:type="gramStart"/>
      <w:r w:rsidRPr="002164BE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巿</w:t>
      </w:r>
      <w:proofErr w:type="gramEnd"/>
      <w:r w:rsidRPr="002164BE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場乃至整個歐洲大陸經濟、並歐洲人民的福祉和環境。 CEN成立於1961年，其34成員國共同在各範疇中制定歐洲標準，以建立商品和服務的歐洲共同</w:t>
      </w:r>
      <w:proofErr w:type="gramStart"/>
      <w:r w:rsidRPr="002164BE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巿</w:t>
      </w:r>
      <w:proofErr w:type="gramEnd"/>
      <w:r w:rsidRPr="002164BE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場，並使歐洲在全球經濟中定位。</w:t>
      </w:r>
    </w:p>
    <w:p w14:paraId="10477D3A" w14:textId="77777777" w:rsidR="000868B4" w:rsidRDefault="00C0790C" w:rsidP="000868B4">
      <w:pPr>
        <w:spacing w:after="0" w:line="400" w:lineRule="exact"/>
        <w:ind w:left="840" w:hangingChars="300" w:hanging="84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proofErr w:type="gramStart"/>
      <w:r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註</w:t>
      </w:r>
      <w:proofErr w:type="gramEnd"/>
      <w:r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2：</w:t>
      </w:r>
      <w:r w:rsidR="006D6FE2" w:rsidRPr="00CB02F1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OJEU（Official Journal of the European Union）歐盟官方公報</w:t>
      </w:r>
      <w:r w:rsidR="006D6FE2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-</w:t>
      </w:r>
    </w:p>
    <w:p w14:paraId="3D24881C" w14:textId="115F4E32" w:rsidR="00683D9C" w:rsidRPr="0019047E" w:rsidRDefault="006D6FE2" w:rsidP="000868B4">
      <w:pPr>
        <w:spacing w:after="0" w:line="400" w:lineRule="exact"/>
        <w:ind w:leftChars="300" w:left="72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OJEU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官方公報（類似我國的「政府公報」）</w:t>
      </w:r>
      <w:r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 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，</w:t>
      </w:r>
      <w:r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所刊登內容具有歐盟法律上的正式效力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，</w:t>
      </w:r>
      <w:r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是歐盟法規、決議、調和標準公告的唯一正式發布管道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。</w:t>
      </w:r>
    </w:p>
    <w:p w14:paraId="6BE95411" w14:textId="77777777" w:rsidR="00683D9C" w:rsidRPr="0019047E" w:rsidRDefault="00683D9C" w:rsidP="000868B4">
      <w:pPr>
        <w:spacing w:after="0" w:line="400" w:lineRule="exact"/>
        <w:ind w:leftChars="200" w:left="480" w:firstLineChars="100" w:firstLine="28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OJEU 主要刊登下列三大類資訊：</w:t>
      </w:r>
    </w:p>
    <w:p w14:paraId="669AF82D" w14:textId="64A1AD1C" w:rsidR="00683D9C" w:rsidRPr="0019047E" w:rsidRDefault="000868B4" w:rsidP="000868B4">
      <w:pPr>
        <w:pStyle w:val="a9"/>
        <w:spacing w:after="0" w:line="400" w:lineRule="exact"/>
        <w:ind w:left="56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（1）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歐盟法規與法律文件： </w:t>
      </w:r>
    </w:p>
    <w:p w14:paraId="4D684891" w14:textId="07A7F805" w:rsidR="0019047E" w:rsidRPr="0019047E" w:rsidRDefault="000868B4" w:rsidP="000868B4">
      <w:pPr>
        <w:pStyle w:val="a9"/>
        <w:spacing w:after="0" w:line="400" w:lineRule="exact"/>
        <w:ind w:left="1260" w:hangingChars="450" w:hanging="126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         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Regulation（規則）、 Directive（指令）、 Decision（決定）、修正法案、實施細則。</w:t>
      </w:r>
    </w:p>
    <w:p w14:paraId="4C97D230" w14:textId="2CC20AD6" w:rsidR="00683D9C" w:rsidRPr="0019047E" w:rsidRDefault="000868B4" w:rsidP="000868B4">
      <w:pPr>
        <w:spacing w:after="0" w:line="400" w:lineRule="exact"/>
        <w:ind w:left="1260" w:hangingChars="450" w:hanging="126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    （2）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調和標準（</w:t>
      </w:r>
      <w:proofErr w:type="spellStart"/>
      <w:r w:rsidR="00683D9C" w:rsidRPr="0019047E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Harmonised</w:t>
      </w:r>
      <w:proofErr w:type="spellEnd"/>
      <w:r w:rsidR="00683D9C" w:rsidRPr="0019047E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 xml:space="preserve"> Standards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）公告： 2014/68/EU（PED）</w:t>
      </w:r>
      <w:r w:rsidR="0019047E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、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 </w:t>
      </w:r>
      <w:r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 xml:space="preserve">     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2006/42/EC（機械指令）</w:t>
      </w:r>
      <w:r w:rsidR="0019047E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、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歐盟委員會會在 OJEU 公告</w:t>
      </w:r>
      <w:r w:rsidR="0019047E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、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哪些 EN 標準被列為「調和標準」</w:t>
      </w:r>
      <w:r w:rsidR="0019047E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、</w:t>
      </w:r>
      <w:r w:rsidR="00683D9C"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公告日期、生效日、取代標準</w:t>
      </w:r>
      <w:r w:rsid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。</w:t>
      </w:r>
    </w:p>
    <w:p w14:paraId="3E3FD94B" w14:textId="3B001FD8" w:rsidR="006D6E06" w:rsidRPr="0019047E" w:rsidRDefault="00683D9C" w:rsidP="00F51C50">
      <w:pPr>
        <w:spacing w:after="0" w:line="400" w:lineRule="exact"/>
        <w:rPr>
          <w:sz w:val="28"/>
          <w:szCs w:val="28"/>
        </w:rPr>
      </w:pPr>
      <w:r w:rsidRPr="0019047E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OJEU（Official Journal of the European Union）為歐盟之官方公報，係歐盟法規、決議及調和標準公告之唯一正式發布媒介，其所刊登之內容具歐盟法律效力。</w:t>
      </w:r>
    </w:p>
    <w:sectPr w:rsidR="006D6E06" w:rsidRPr="0019047E" w:rsidSect="00C022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45E8" w14:textId="77777777" w:rsidR="00043AAE" w:rsidRDefault="00043AAE" w:rsidP="00C0220D">
      <w:pPr>
        <w:spacing w:after="0" w:line="240" w:lineRule="auto"/>
      </w:pPr>
      <w:r>
        <w:separator/>
      </w:r>
    </w:p>
  </w:endnote>
  <w:endnote w:type="continuationSeparator" w:id="0">
    <w:p w14:paraId="2174D4F2" w14:textId="77777777" w:rsidR="00043AAE" w:rsidRDefault="00043AAE" w:rsidP="00C0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0701" w14:textId="77777777" w:rsidR="00043AAE" w:rsidRDefault="00043AAE" w:rsidP="00C0220D">
      <w:pPr>
        <w:spacing w:after="0" w:line="240" w:lineRule="auto"/>
      </w:pPr>
      <w:r>
        <w:separator/>
      </w:r>
    </w:p>
  </w:footnote>
  <w:footnote w:type="continuationSeparator" w:id="0">
    <w:p w14:paraId="4E96FB7D" w14:textId="77777777" w:rsidR="00043AAE" w:rsidRDefault="00043AAE" w:rsidP="00C02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73285"/>
    <w:multiLevelType w:val="hybridMultilevel"/>
    <w:tmpl w:val="75EC634A"/>
    <w:lvl w:ilvl="0" w:tplc="6BA032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43744F"/>
    <w:multiLevelType w:val="hybridMultilevel"/>
    <w:tmpl w:val="4B14C8AA"/>
    <w:lvl w:ilvl="0" w:tplc="8FB6A1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6108407">
    <w:abstractNumId w:val="1"/>
  </w:num>
  <w:num w:numId="2" w16cid:durableId="55786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06"/>
    <w:rsid w:val="00043AAE"/>
    <w:rsid w:val="000868B4"/>
    <w:rsid w:val="0019047E"/>
    <w:rsid w:val="00196704"/>
    <w:rsid w:val="001B4A9E"/>
    <w:rsid w:val="001B68AA"/>
    <w:rsid w:val="001D3E1D"/>
    <w:rsid w:val="002164BE"/>
    <w:rsid w:val="00482FDC"/>
    <w:rsid w:val="00483890"/>
    <w:rsid w:val="00683D9C"/>
    <w:rsid w:val="006D6E06"/>
    <w:rsid w:val="006D6FE2"/>
    <w:rsid w:val="00845FDC"/>
    <w:rsid w:val="009671DA"/>
    <w:rsid w:val="009A7D14"/>
    <w:rsid w:val="00AE3768"/>
    <w:rsid w:val="00C0220D"/>
    <w:rsid w:val="00C0790C"/>
    <w:rsid w:val="00C74C61"/>
    <w:rsid w:val="00CB02F1"/>
    <w:rsid w:val="00D27F2A"/>
    <w:rsid w:val="00EB2150"/>
    <w:rsid w:val="00F51C50"/>
    <w:rsid w:val="00F926BF"/>
    <w:rsid w:val="00F9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2A1E1"/>
  <w15:chartTrackingRefBased/>
  <w15:docId w15:val="{F25E2832-1725-4A8A-B0BD-3F1D36D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E0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E0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E0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E0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E0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E0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6E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6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6E0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6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6E0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6E0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6E0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6E0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6E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6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6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6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E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6E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6E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2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0220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02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0220D"/>
    <w:rPr>
      <w:sz w:val="20"/>
      <w:szCs w:val="20"/>
    </w:rPr>
  </w:style>
  <w:style w:type="paragraph" w:customStyle="1" w:styleId="xs3">
    <w:name w:val="x_s3"/>
    <w:basedOn w:val="a"/>
    <w:rsid w:val="00C0220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xbumpedfont15">
    <w:name w:val="x_bumpedfont15"/>
    <w:basedOn w:val="a0"/>
    <w:rsid w:val="00C0220D"/>
  </w:style>
  <w:style w:type="paragraph" w:customStyle="1" w:styleId="xs4">
    <w:name w:val="x_s4"/>
    <w:basedOn w:val="a"/>
    <w:rsid w:val="00C0220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c103</dc:creator>
  <cp:keywords/>
  <dc:description/>
  <cp:lastModifiedBy>c103</cp:lastModifiedBy>
  <cp:revision>11</cp:revision>
  <dcterms:created xsi:type="dcterms:W3CDTF">2025-12-22T15:36:00Z</dcterms:created>
  <dcterms:modified xsi:type="dcterms:W3CDTF">2026-01-22T14:15:00Z</dcterms:modified>
</cp:coreProperties>
</file>